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5D" w:rsidRDefault="00C3095D" w:rsidP="00C3095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3095D" w:rsidRDefault="00C3095D" w:rsidP="00C3095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Course Description </w:t>
      </w:r>
    </w:p>
    <w:tbl>
      <w:tblPr>
        <w:tblStyle w:val="TableGrid"/>
        <w:bidiVisual/>
        <w:tblW w:w="9465" w:type="dxa"/>
        <w:tblInd w:w="-223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C3095D" w:rsidTr="00F86980">
        <w:tc>
          <w:tcPr>
            <w:tcW w:w="9465" w:type="dxa"/>
          </w:tcPr>
          <w:p w:rsidR="00C3095D" w:rsidRPr="00FE2DDF" w:rsidRDefault="00C3095D" w:rsidP="00F8698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42D07">
              <w:rPr>
                <w:rFonts w:asciiTheme="majorBidi" w:hAnsiTheme="majorBidi" w:cstheme="majorBidi"/>
                <w:sz w:val="24"/>
                <w:szCs w:val="24"/>
              </w:rPr>
              <w:t>This course covers the definition of accounting, the accounting system and its main elements, the double entry system, transactions related to capital, cash , inventory , accounts receivable. in addition to preparing the trial balance, income statement and statement of financial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3002A4" w:rsidRPr="00C3095D" w:rsidRDefault="003002A4">
      <w:pPr>
        <w:rPr>
          <w:rFonts w:hint="cs"/>
          <w:lang w:bidi="ar-JO"/>
        </w:rPr>
      </w:pPr>
      <w:bookmarkStart w:id="0" w:name="_GoBack"/>
      <w:bookmarkEnd w:id="0"/>
    </w:p>
    <w:sectPr w:rsidR="003002A4" w:rsidRPr="00C3095D" w:rsidSect="0037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60"/>
    <w:rsid w:val="003002A4"/>
    <w:rsid w:val="00372AF0"/>
    <w:rsid w:val="00647860"/>
    <w:rsid w:val="00C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5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3095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5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3095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Masadeh</dc:creator>
  <cp:keywords/>
  <dc:description/>
  <cp:lastModifiedBy>Ali Masadeh</cp:lastModifiedBy>
  <cp:revision>2</cp:revision>
  <dcterms:created xsi:type="dcterms:W3CDTF">2023-10-01T08:01:00Z</dcterms:created>
  <dcterms:modified xsi:type="dcterms:W3CDTF">2023-10-01T08:02:00Z</dcterms:modified>
</cp:coreProperties>
</file>